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center"/>
        <w:rPr>
          <w:rFonts w:ascii="Helvetica Neue" w:cs="Helvetica Neue" w:eastAsia="Helvetica Neue" w:hAnsi="Helvetica Neue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02855"/>
          <w:sz w:val="28"/>
          <w:szCs w:val="28"/>
          <w:rtl w:val="0"/>
        </w:rPr>
        <w:t xml:space="preserve">West Virginia UniversityThe Student Assembly - Student Government Association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jc w:val="center"/>
        <w:rPr>
          <w:rFonts w:ascii="Helvetica Neue" w:cs="Helvetica Neue" w:eastAsia="Helvetica Neue" w:hAnsi="Helvetica Neue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02855"/>
          <w:sz w:val="28"/>
          <w:szCs w:val="28"/>
          <w:rtl w:val="0"/>
        </w:rPr>
        <w:t xml:space="preserve">Assembly Resolution: AR-2024-02-01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center"/>
        <w:rPr>
          <w:rFonts w:ascii="Helvetica Neue" w:cs="Helvetica Neue" w:eastAsia="Helvetica Neue" w:hAnsi="Helvetica Neue"/>
          <w:b w:val="1"/>
          <w:color w:val="00285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2855"/>
          <w:sz w:val="28"/>
          <w:szCs w:val="28"/>
          <w:rtl w:val="0"/>
        </w:rPr>
        <w:t xml:space="preserve">AN ASSEMBLY RESOLUTION FOR INCREASED GRADUATE SCHOOL STANDARDIZED ADMISSIONS TEST PREPARATION RESOURCES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750"/>
        <w:tblGridChange w:id="0">
          <w:tblGrid>
            <w:gridCol w:w="2610"/>
            <w:gridCol w:w="6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Short Title: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Increase Graduate Exam Prep Resources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Author(s):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Andrew Indomenico, College Senator (Eberly)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Sponsor(s):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Matthew Olivero, Senator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Logan Lipkovitch, College Senator (CAHS)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Olivia Schmieder, College Senator (Davis)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Susie Risk, President Pro Tempore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Joanna Switala, College Senator (Eberly)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Lilly Henson, College Senator (Eberly)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Catherine Magrogan, College Senator (HSC)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Caitlin Shiels, College Senator (Eberly)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Contributor(s):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Committee Endorsement: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Academic Affairs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First Reading Date: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2/28/24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Second Reading Date: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3/6/24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Date of Approval: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3/6/24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  <w:rtl w:val="0"/>
              </w:rPr>
              <w:t xml:space="preserve">Presidential Signature:</w:t>
            </w:r>
          </w:p>
        </w:tc>
        <w:tc>
          <w:tcPr>
            <w:tcBorders>
              <w:top w:color="eaaa00" w:space="0" w:sz="8" w:val="single"/>
              <w:left w:color="eaaa00" w:space="0" w:sz="8" w:val="single"/>
              <w:bottom w:color="eaaa00" w:space="0" w:sz="8" w:val="single"/>
              <w:right w:color="eaaa00" w:space="0" w:sz="8" w:val="single"/>
            </w:tcBorders>
            <w:shd w:fill="eaaa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28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the WVU Student Government Association’s mission statement reads, “We,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students of West Virginia University, desire to preserve within our University and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Student Government Association, an atmosphere that helps to... ensure that the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personal freedoms and general welfare of the students within our University are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protected...”; and,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4"/>
          <w:szCs w:val="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WVU Mission Statement reads, “</w:t>
      </w:r>
      <w:r w:rsidDel="00000000" w:rsidR="00000000" w:rsidRPr="00000000">
        <w:rPr>
          <w:rFonts w:ascii="Helvetica Neue" w:cs="Helvetica Neue" w:eastAsia="Helvetica Neue" w:hAnsi="Helvetica Neue"/>
          <w:color w:val="2c2a29"/>
          <w:sz w:val="24"/>
          <w:szCs w:val="24"/>
          <w:rtl w:val="0"/>
        </w:rPr>
        <w:t xml:space="preserve">As a land-grant institution, the faculty, staff and students at West Virginia University commit to creating a diverse and inclusive culture that advances education, healthcare and prosperity for all by providing access and opportunity…”;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there are several standardized tests students must take to be admitted to certain graduate and professional programs, including but not limited to the GRE, MCAT, LSAT, GMAT, and DAT; and,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compared to WVU, other member institutions of the Big 12 Conference provide students with more resources for preparing for graduate school standardized admissions tests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; and,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acquiring preparation materials and resources for these exams, especially for the LSAT and MCAT, commonly costs students hundreds to thousands of dollars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making use of preparation materials for standardized tests has been demonstrated to boost scores for test-takers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increasing test scores on these exams could have marked benefits for the University, including increased applications to the University’s graduate programs and better outcomes for alumni;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Therefore, be it resolved by the Student Assembly of West Virginia University: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Section 1: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encourage the university to develop more resources for students studying for and taking graduate school standardized admissions tests, in the form of classes, webinars, tutoring, workshops, resource databases, and/or cohort programs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Section 2: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encourage the university to make these resources available to students at little to no cost, comparable to the resources offered by other Big 12 member institutions;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Mandates: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Maryanne Reed, Provost and Vice President for Academic Affairs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Evan Widders, Associate Provost for Undergraduate Education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Mark Gavin, Associate Provost for Academic, Budget, Facilities, and Strategic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Initiatives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G. Corey Farris, Dean of Students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Madison Santmyer, Student Body President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Frankie Tack, Faculty Senate Chair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Autumn Tooms Cyprés, Dean of the College of Applied Human Sciences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Darrell Donahue, Dean of the Davis College of Agriculture, Natural Resources and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Design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Gregory Dunaway, Dean of the Eberly College of Arts and Sciences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Tara Hulsey, Dean of the School of Nursing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Keith Jackson, Dean of the College of Creative Arts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Pedro J. Mago, Dean of the Benjamin M. Statler College of Engineering and Mineral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Clay Marsh, Dean of the School of Medicine, and Executive Dean for Health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Sciences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Diana Martinelli, Dean of the Reed College of Media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Stephen Pachuta, Dean of the School of Dentistry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Bill Petros, Dean of the School of Pharmacy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Amelia Smith Rinehart, Dean of the College of Law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Dr. Thanh Le, Director, Student Engagement and Leadership (Advisor)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Karsey Prichard, Executive Secretary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Daily Athenaeum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APPENDIX A - EXAMPLE LIST OF RESOURCES OFFERED BY BIG 12 MEMBER INSTITUTIONS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0" w:firstLine="0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Iowa State University: PrepSTEP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https://www.lib.iastate.edu/news/new-test-prep-database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University of Texas at Austin: The Cohort Program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https://law.utexas.edu/pipeline-program/cohort-program/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Texas Christian University: LSAT Prep Courses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https://www.ed2go.com/tcu/online-courses/lsat-preparation-1/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Texas Tech University: Graduate Exam Preparation Courses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https://www.depts.ttu.edu/continuingeducation/testPrep/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University of Oklahoma: OU Med REV UP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https://medicine.ouhsc.edu/about/office-of-diversity-inclusion-and-community-engagement/ou-med-rev-up-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University of Central Florida: MCAT Prep Program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https://www.ce.ucf.edu/ucf/course/course.aspx?C=22&amp;pc=6&amp;mc=0&amp;sc=0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University of Cincinnati: LSAT Prep Courses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https://www.uc.edu/about/continuing-ed/test-prep/lsat.html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>
        <w:color w:val="002855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line="240" w:lineRule="auto"/>
      <w:rPr>
        <w:rFonts w:ascii="Helvetica Neue" w:cs="Helvetica Neue" w:eastAsia="Helvetica Neue" w:hAnsi="Helvetica Neue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Appendix A.</w:t>
      </w:r>
    </w:p>
  </w:footnote>
  <w:footnote w:id="1">
    <w:p w:rsidR="00000000" w:rsidDel="00000000" w:rsidP="00000000" w:rsidRDefault="00000000" w:rsidRPr="00000000" w14:paraId="000000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https://www.usnews.com/education/best-graduate-schools/top-medical-schools/slideshows/10-costs-to-expect-when-applying-to-medical-school?slide=3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https://www.intelligent.com/best-lsat-prep-courses-and-classes/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https://www.act.org/content/dam/act/unsecured/documents/R1710-investigating-test-prep-impact-2018-07.pdf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7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Appendix A for examples of such materials.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40" w:lineRule="auto"/>
      <w:jc w:val="center"/>
      <w:rPr>
        <w:rFonts w:ascii="Helvetica Neue" w:cs="Helvetica Neue" w:eastAsia="Helvetica Neue" w:hAnsi="Helvetica Neue"/>
        <w:color w:val="002855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-104771</wp:posOffset>
          </wp:positionH>
          <wp:positionV relativeFrom="page">
            <wp:posOffset>-19047</wp:posOffset>
          </wp:positionV>
          <wp:extent cx="8632927" cy="1319213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epts.ttu.edu/continuingeducation/testPrep/" TargetMode="External"/><Relationship Id="rId10" Type="http://schemas.openxmlformats.org/officeDocument/2006/relationships/hyperlink" Target="https://www.ed2go.com/tcu/online-courses/lsat-preparation-1/" TargetMode="External"/><Relationship Id="rId13" Type="http://schemas.openxmlformats.org/officeDocument/2006/relationships/hyperlink" Target="https://www.ce.ucf.edu/ucf/course/course.aspx?C=22&amp;pc=6&amp;mc=0&amp;sc=0" TargetMode="External"/><Relationship Id="rId12" Type="http://schemas.openxmlformats.org/officeDocument/2006/relationships/hyperlink" Target="https://medicine.ouhsc.edu/about/office-of-diversity-inclusion-and-community-engagement/ou-med-rev-up-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aw.utexas.edu/pipeline-program/cohort-program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uc.edu/about/continuing-ed/test-prep/lsat.html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lib.iastate.edu/news/new-test-prep-databa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snews.com/education/best-graduate-schools/top-medical-schools/slideshows/10-costs-to-expect-when-applying-to-medical-school?slide=3" TargetMode="External"/><Relationship Id="rId2" Type="http://schemas.openxmlformats.org/officeDocument/2006/relationships/hyperlink" Target="https://www.intelligent.com/best-lsat-prep-courses-and-classes/" TargetMode="External"/><Relationship Id="rId3" Type="http://schemas.openxmlformats.org/officeDocument/2006/relationships/hyperlink" Target="https://www.act.org/content/dam/act/unsecured/documents/R1710-investigating-test-prep-impact-2018-07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M1z52HL0RiaLCHJtuFt+ivKQaA==">CgMxLjA4AHIhMUNqRHp1QnRSMGx4ZWtuSmVrdnZtcnhlTzRRc3BPN1pZ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